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8B" w:rsidRDefault="008E7116">
      <w:pPr>
        <w:pStyle w:val="af8"/>
        <w:widowControl w:val="0"/>
        <w:spacing w:before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СОГЛАШЕНИЕ О КОНФИДЕНЦИАЛЬНОСТИ №______</w:t>
      </w:r>
    </w:p>
    <w:p w:rsidR="00BF4D8B" w:rsidRDefault="00BF4D8B">
      <w:pPr>
        <w:jc w:val="both"/>
        <w:rPr>
          <w:sz w:val="24"/>
          <w:szCs w:val="24"/>
          <w:lang w:val="ru-RU"/>
        </w:rPr>
      </w:pPr>
    </w:p>
    <w:p w:rsidR="00BF4D8B" w:rsidRDefault="008E7116">
      <w:pPr>
        <w:widowControl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</w:t>
      </w:r>
      <w:r w:rsidR="00014561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  <w:lang w:val="ru-RU"/>
        </w:rPr>
        <w:t xml:space="preserve">Минск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«___»_______202_ г.</w:t>
      </w:r>
    </w:p>
    <w:p w:rsidR="00BF4D8B" w:rsidRDefault="00BF4D8B">
      <w:pPr>
        <w:widowControl w:val="0"/>
        <w:jc w:val="both"/>
        <w:rPr>
          <w:sz w:val="24"/>
          <w:szCs w:val="24"/>
          <w:lang w:val="ru-RU"/>
        </w:rPr>
      </w:pPr>
    </w:p>
    <w:p w:rsidR="00BF4D8B" w:rsidRDefault="00BF4D8B">
      <w:pPr>
        <w:ind w:firstLine="709"/>
        <w:jc w:val="both"/>
        <w:rPr>
          <w:b/>
          <w:sz w:val="24"/>
          <w:szCs w:val="24"/>
          <w:lang w:val="ru-RU"/>
        </w:rPr>
      </w:pP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ООО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>«Белорусские облачные технологии»</w:t>
      </w:r>
      <w:r>
        <w:rPr>
          <w:sz w:val="24"/>
          <w:szCs w:val="24"/>
          <w:lang w:val="ru-RU"/>
        </w:rPr>
        <w:t xml:space="preserve">, в лице заместителя генерального директора по коммерческим вопросам </w:t>
      </w:r>
      <w:r w:rsidR="004A3083" w:rsidRPr="004A3083">
        <w:rPr>
          <w:sz w:val="24"/>
          <w:szCs w:val="24"/>
          <w:lang w:val="ru-RU"/>
        </w:rPr>
        <w:t>Гаврилович Юли</w:t>
      </w:r>
      <w:r w:rsidR="004A3083">
        <w:rPr>
          <w:sz w:val="24"/>
          <w:szCs w:val="24"/>
          <w:lang w:val="ru-RU"/>
        </w:rPr>
        <w:t>и</w:t>
      </w:r>
      <w:r w:rsidR="004A3083" w:rsidRPr="004A3083">
        <w:rPr>
          <w:sz w:val="24"/>
          <w:szCs w:val="24"/>
          <w:lang w:val="ru-RU"/>
        </w:rPr>
        <w:t xml:space="preserve"> Александровн</w:t>
      </w:r>
      <w:r w:rsidR="004A3083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, действующего на основании доверенности №</w:t>
      </w:r>
      <w:r w:rsidR="004A3083" w:rsidRPr="004A3083">
        <w:rPr>
          <w:sz w:val="24"/>
          <w:szCs w:val="24"/>
          <w:lang w:val="ru-RU"/>
        </w:rPr>
        <w:t>50</w:t>
      </w:r>
      <w:r>
        <w:rPr>
          <w:sz w:val="24"/>
          <w:szCs w:val="24"/>
          <w:lang w:val="ru-RU"/>
        </w:rPr>
        <w:t xml:space="preserve"> от </w:t>
      </w:r>
      <w:r w:rsidR="004A3083" w:rsidRPr="004A3083">
        <w:rPr>
          <w:sz w:val="24"/>
          <w:szCs w:val="24"/>
          <w:lang w:val="ru-RU"/>
        </w:rPr>
        <w:t>28</w:t>
      </w:r>
      <w:r>
        <w:rPr>
          <w:sz w:val="24"/>
          <w:szCs w:val="24"/>
          <w:lang w:val="ru-RU"/>
        </w:rPr>
        <w:t>.</w:t>
      </w:r>
      <w:r w:rsidR="004A3083" w:rsidRPr="004A3083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>.202</w:t>
      </w:r>
      <w:r w:rsidR="004A3083" w:rsidRPr="004A3083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, с одной стороны, и </w:t>
      </w:r>
    </w:p>
    <w:p w:rsidR="00BF4D8B" w:rsidRPr="004A3083" w:rsidRDefault="008E7116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, в лице, действующего на основании ___________________________, с другой Стороны, каждое в отдельности именуемое «Сторона», а вместе именуемые «Стороны», заключили настоящее Соглашение о нижеследующем.</w:t>
      </w:r>
    </w:p>
    <w:p w:rsidR="00BF4D8B" w:rsidRDefault="00BF4D8B">
      <w:pPr>
        <w:ind w:firstLine="900"/>
        <w:jc w:val="both"/>
        <w:rPr>
          <w:sz w:val="24"/>
          <w:szCs w:val="24"/>
          <w:lang w:val="ru-RU"/>
        </w:rPr>
      </w:pPr>
    </w:p>
    <w:p w:rsidR="00BF4D8B" w:rsidRDefault="008E7116">
      <w:pPr>
        <w:pStyle w:val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ПРЕДМЕТ СОГЛАШЕНИЯ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 Настоящее Соглашение определяет порядок взаимодействия Сторон, в том числе обязательства Сторон по обеспечению сохранности и недопущению разглашения Конфиденциальной информации Сторон третьим лицам при обмене Конфиденциальной информацией, используемой при подготовке проектов договоров/соглашений между Сторонами, а также в целях исполнения обязательств по заключенным Сторонами договорам/соглашениям, или при ином взаимодействии между Сторонами, когда становится возможным доступ к Конфиденциальной информации (пилотные проекты, переговоры, рабочие совещания, обмен данными, или посещение помещений Сторон и др.).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Под «Конфиденциальной информацией» в настоящем Соглашении понимаются сведения, передаваемые одной из Сторон (передающая Сторона) другой Стороне (получающая Сторона), включая сведения, составляющие коммерческую тайну и/или служебную информацию ограниченного распространения передающей Стороны (включая, но не ограничиваясь, сведения из аналитических регистров управленческого учета (планы счетов, статьи затрат, группы товарно-материальных ценностей), из маркетинговых планов и планов продвижения продуктов, сведения о банковских и финансовых операциях, бухгалтерской и финансовой отчетности, технических планах, бизнес-планах (стратегиях), сведения о партнерах, сведения о заключенных договорах (соглашениях), технические данные, методологии и процессы, прогнозы, секреты производства (оказания услуг), сведения о составе, архитектуре корпоративной вычислительной сети, центров и узлов обработки данных, технической спецификации используемого программного обеспечения с указанием автоматизируемых задач, перечня пользователей и структуры таблиц, алгоритмов, программных кодов и бизнес-моделей, реализованных в существующих программных средствах).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Под разглашением (раскрытием) Конфиденциальной информации третьим лицам понимается любое действие или бездействие Стороны, в результате которого произошло ознакомление в любой форме третьих лиц со сведениями, представляющими Конфиденциальную информацию.</w:t>
      </w:r>
    </w:p>
    <w:p w:rsidR="00BF4D8B" w:rsidRDefault="008E7116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1.4. Не является Конфиденциальной в целях настоящего Соглашения информация, которая:</w:t>
      </w:r>
    </w:p>
    <w:p w:rsidR="00BF4D8B" w:rsidRDefault="008E7116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1.4.1. уже находится на законных основаниях в пользовании получающей Стороны до момента подписания настоящего Соглашения;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1.4.2. </w:t>
      </w:r>
      <w:r>
        <w:rPr>
          <w:sz w:val="24"/>
          <w:szCs w:val="24"/>
          <w:lang w:val="ru-RU"/>
        </w:rPr>
        <w:t xml:space="preserve">стала общеизвестной иначе, чем </w:t>
      </w:r>
      <w:r>
        <w:rPr>
          <w:color w:val="000000"/>
          <w:sz w:val="24"/>
          <w:szCs w:val="24"/>
          <w:lang w:val="ru-RU" w:eastAsia="zh-CN"/>
        </w:rPr>
        <w:t>в результате нарушения настоящего Соглашения</w:t>
      </w:r>
      <w:r>
        <w:rPr>
          <w:sz w:val="24"/>
          <w:szCs w:val="24"/>
          <w:lang w:val="ru-RU"/>
        </w:rPr>
        <w:t>.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 Сторона, ссылающаяся на одно из исключений п.1.4. должна будет доказать, что такое исключение приемлемо.</w:t>
      </w:r>
    </w:p>
    <w:p w:rsidR="00BF4D8B" w:rsidRDefault="00BF4D8B">
      <w:pPr>
        <w:pStyle w:val="12"/>
        <w:rPr>
          <w:rFonts w:ascii="Times New Roman" w:hAnsi="Times New Roman"/>
          <w:color w:val="000000"/>
          <w:sz w:val="24"/>
          <w:szCs w:val="24"/>
        </w:rPr>
      </w:pPr>
    </w:p>
    <w:p w:rsidR="00BF4D8B" w:rsidRDefault="008E7116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ОБЯЗАННОСТИ ПОЛУЧАЮЩЕЙ СТОРОНЫ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Получающая Сторона обязуется: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использовать полученную Конфиденциальную информацию исключительно для целей настоящего Соглашения;</w:t>
      </w:r>
    </w:p>
    <w:p w:rsidR="00BF4D8B" w:rsidRDefault="008E7116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>
        <w:rPr>
          <w:color w:val="000000"/>
          <w:sz w:val="24"/>
          <w:szCs w:val="24"/>
          <w:lang w:val="ru-RU"/>
        </w:rPr>
        <w:t xml:space="preserve"> для защиты Конфиденциальной информации принимать меры предосторожности согласно установленного Стороной порядка, используемого для защиты такого рода информации в существующем деловом обороте;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 допускать своих работников к сведениям, входящим в предмет настоящего</w:t>
      </w:r>
      <w:r>
        <w:rPr>
          <w:sz w:val="24"/>
          <w:szCs w:val="24"/>
          <w:lang w:val="ru-RU"/>
        </w:rPr>
        <w:br/>
        <w:t>Соглашения, только в случае служебной необходимости в объеме, требуемом для исполнения ими своих обязанностей;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bookmarkStart w:id="1" w:name="Par150"/>
      <w:bookmarkEnd w:id="1"/>
      <w:r>
        <w:rPr>
          <w:sz w:val="24"/>
          <w:szCs w:val="24"/>
          <w:lang w:val="ru-RU"/>
        </w:rPr>
        <w:t>2.4. обеспечить соблюдение конфиденциальности сведений, входящих в предмет настоящего Соглашения, своими работниками;</w:t>
      </w:r>
    </w:p>
    <w:p w:rsidR="00BF4D8B" w:rsidRDefault="008E711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2.5. не предоставлять сведения, входящие в предмет настоящего Соглашения, третьим лицам без предварительного письменного согласия передающей Стороны;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</w:t>
      </w:r>
      <w:r w:rsidR="00276D7F" w:rsidRPr="00276D7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 предъявлении требования о предоставлении доступа к сведениям, входящим в предмет настоящего Соглашения, со стороны уполномоченного государственного органа или иного лица, отказать, если иное не предусмотрено законодательными актами, в их предоставлении, ограничившись предоставлением информации о передающей Стороне как владельце Конфиденциальной информации, 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2.7. незамедлительно, но не позднее 3 (трех) календарных дней, письменно уведомить передающую Сторону о допущенных принимающей Стороной фактах неправомерного ознакомления со сведениями, входящими в предмет настоящего Соглашения, третьих лиц, либо неправомерного использования, распространения или угрозы распространения этих сведений, а также о требованиях доступа к ним со стороны государственных органов, аудиторов и иных лиц;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 при обнаружении фактов, свидетельствующих об осведомленности третьих лиц в Конфиденциальной информации, даже в том случае, если такая осведомленность не является следствием нарушения настоящего Соглашения получающей Стороной, письменно уведомить о таких фактах передающую Сторону в кратчайшие сроки, но не позднее 5 (пяти) календарных дней с момента обнаружения;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2.9. обеспечить сохранность Конфиденциальной информации; по получении письменного запроса передающей Стороны не позднее 5 (пяти) рабочих дней вернуть передающей Стороне полученные от нее материальные носители Конфиденциальной информации либо предоставить документальные свидетельства их уничтожения;</w:t>
      </w:r>
    </w:p>
    <w:p w:rsidR="00BF4D8B" w:rsidRDefault="008E7116">
      <w:pPr>
        <w:pStyle w:val="aff8"/>
        <w:tabs>
          <w:tab w:val="left" w:pos="720"/>
          <w:tab w:val="num" w:pos="1260"/>
          <w:tab w:val="num" w:pos="1860"/>
        </w:tabs>
        <w:ind w:left="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2.10. </w:t>
      </w:r>
      <w:r>
        <w:rPr>
          <w:bCs/>
          <w:sz w:val="24"/>
          <w:szCs w:val="24"/>
          <w:lang w:val="ru-RU"/>
        </w:rPr>
        <w:t>соблюдать режим сохранности и недопущение разглашения Конфиденциальной информации в соответствии с условиями настоящего Соглашения в течение всего срока действия настоящего Соглашения и не менее пяти лет после его истечения/прекращения.</w:t>
      </w:r>
    </w:p>
    <w:p w:rsidR="00BF4D8B" w:rsidRDefault="00BF4D8B">
      <w:pPr>
        <w:pStyle w:val="13"/>
        <w:ind w:firstLine="709"/>
        <w:jc w:val="both"/>
        <w:rPr>
          <w:sz w:val="24"/>
          <w:szCs w:val="24"/>
          <w:lang w:val="ru-RU"/>
        </w:rPr>
      </w:pPr>
    </w:p>
    <w:p w:rsidR="00BF4D8B" w:rsidRDefault="008E711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ПОРЯДОК ПЕРЕДАЧИ, ИСПОЛЬЗОВАНИЯ, И ХРАНЕНИЯ КОНФИДЕНЦИАЛЬНОЙ ИНФОРМАЦИИ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Физические носители информации, на которых зафиксирована передаваемая Конфиденциальная информация, должны иметь соответствующий ограничительный гриф («конфиденциально», «коммерческая тайна» или «для служебного пользования»).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Конфиденциальная информация, предоставляемая устно или другим бездокументарным методом, в том числе на электронном носителе, должна быть ясно определена передающей Стороной в момент предоставления как конфиденциальная.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Обмен Конфиденциальной информацией, в том числе представленной в электронном виде, осуществляется ответственными представителями Сторон, указанными в Приложении № 2 к настоящему Соглашению: 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3.3.1.</w:t>
      </w:r>
      <w:r w:rsidR="00B55DE9" w:rsidRPr="00B55D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Обмен Конфиденциальной информацией в электронном виде осуществляется посредством электронной почты с применением приемлемых для Сторон средств защиты информации в соответствии с законодательством Республики Беларусь.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3.3.2. Обмен Конфиденциальной информацией в ином виде, если это возможно, исходя из физических свойств материального носителя информации, на котором она зафиксирована, осуществляется в порядке, определенном локальными нормативными правовыми актами Сторон с оформлением письменного Акта передачи конфиденциальной информации (Приложение № 1 к настоящему Соглашению), подписанному ответственными представителями Сторон, указанными в Приложении № 2 к настоящему Соглашению. 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В случае изменения ответственного представителя либо изменения контактных данных Сторона обязана письменно информировать об этом другую Сторону не позднее 3 (трех) рабочих дней до предполагаемой замены с указанием данных заменяющего лица.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Конфиденциальность полученной информации должна сохраняться Стороной в течение срока действия и по истечении 5 (пяти) лет с момента прекращения действия настоящего Соглашения.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По истечении срока хранения получающая Сторона обязуется уничтожить всю полученную ею Конфиденциальную информацию на физических носителях. О факте уничтожения получающая Сторона письменно уведомляет передающую Сторону в течение 3 (трех) рабочих дней с момента уничтожения.</w:t>
      </w:r>
    </w:p>
    <w:p w:rsidR="00BF4D8B" w:rsidRDefault="00BF4D8B">
      <w:pPr>
        <w:pStyle w:val="12"/>
        <w:ind w:firstLine="900"/>
        <w:rPr>
          <w:rFonts w:ascii="Times New Roman" w:hAnsi="Times New Roman"/>
          <w:color w:val="000000"/>
          <w:sz w:val="24"/>
          <w:szCs w:val="24"/>
        </w:rPr>
      </w:pPr>
    </w:p>
    <w:p w:rsidR="00BF4D8B" w:rsidRDefault="008E7116">
      <w:pPr>
        <w:pStyle w:val="12"/>
        <w:ind w:firstLine="9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ОТВЕТСТВЕННОСТЬ И РАЗРЕШЕНИЕ СПОРОВ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В случае нарушения условий настоящего Соглашения Стороны несут ответственность в соответствии с законодательством Республики Беларусь, а также обязуются возместить весь ущерб, который был причинен в результате такого нарушения.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 В случае нарушения получающей Стороной обязанностей, указанных в подпунктах 2.5. и 2.10. настоящего Соглашения, передающая Сторона вправе требовать от получающей Стороны уплаты штрафа в размере 100 (сто) базовых величин, установленных Советом Министров Республики Беларусь на день выставления письменного требования (претензии) (с приложением счета) за каждый факт разглашения Конфиденциальной информации. Уплата штрафа осуществляется в течение 30 (тридцати) календарных дней на основании письменного требования (претензии) Стороны, чье право нарушено, которое должно быть рассмотрено не позднее 14 (четырнадцати) календарных дней с момента получения. При этом уплата штрафа, указанного в настоящем пункте, не освобождает получающую Сторону от исполнения обязательств, предусмотренных настоящим Соглашением.</w:t>
      </w:r>
    </w:p>
    <w:p w:rsidR="00BF4D8B" w:rsidRDefault="008E7116">
      <w:pPr>
        <w:pStyle w:val="1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Все споры и разногласия, которые могут возникнуть при исполнении настоящего Соглашения или в связи с ним, будут разрешаться Сторонами путем переговоров. Споры и разногласия, по которым Стороны не достигнут договоренности, подлежат разрешению в судебном порядке в соответствии с законодательством Республики Беларусь.</w:t>
      </w:r>
    </w:p>
    <w:p w:rsidR="00BF4D8B" w:rsidRDefault="00BF4D8B">
      <w:pPr>
        <w:ind w:firstLine="708"/>
        <w:jc w:val="both"/>
        <w:rPr>
          <w:color w:val="000000"/>
          <w:sz w:val="24"/>
          <w:szCs w:val="24"/>
          <w:lang w:val="ru-RU"/>
        </w:rPr>
      </w:pPr>
    </w:p>
    <w:p w:rsidR="00BF4D8B" w:rsidRDefault="008E7116">
      <w:pPr>
        <w:ind w:firstLine="708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5. ПРОЧИЕ УСЛОВИЯ</w:t>
      </w:r>
    </w:p>
    <w:p w:rsidR="00BF4D8B" w:rsidRDefault="008E7116">
      <w:pPr>
        <w:ind w:firstLine="9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5.1. По всем вопросам, не урегулированным Соглашением, Стороны руководствуются законодательством Республики Беларусь.</w:t>
      </w:r>
    </w:p>
    <w:p w:rsidR="00BF4D8B" w:rsidRDefault="008E7116">
      <w:pPr>
        <w:ind w:firstLine="9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5.2. Соглашение вступает в силу с момента подписания его Сторонами и прекращает свое действие через 5 (пять) лет с момента последнего получения Конфиденциальной информации от передающей Стороны, но в любом случае до полного исполнения Сторонами обязательств, возникших в период действия Соглашения, и не менее срока действия договорных отношений между Сторонами.</w:t>
      </w:r>
    </w:p>
    <w:p w:rsidR="00BF4D8B" w:rsidRDefault="008E7116">
      <w:pPr>
        <w:ind w:firstLine="9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5.3. Настоящее Соглашение и передача Конфиденциальной информации по настоящему Соглашению не предусматривают переход права собственности на Конфиденциальную информацию.</w:t>
      </w:r>
    </w:p>
    <w:p w:rsidR="00BF4D8B" w:rsidRDefault="008E7116">
      <w:pPr>
        <w:ind w:firstLine="9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5.4. Соглашение составлено в двух экземплярах, имеющих равную юридическую силу, по одному экземпляру для каждой из Сторон. </w:t>
      </w:r>
    </w:p>
    <w:p w:rsidR="00BF4D8B" w:rsidRDefault="008E7116">
      <w:pPr>
        <w:ind w:firstLine="90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5.5. Все приложения к Соглашению являются его неотъемлемой частью.</w:t>
      </w:r>
    </w:p>
    <w:p w:rsidR="00BF4D8B" w:rsidRDefault="008E7116">
      <w:pPr>
        <w:tabs>
          <w:tab w:val="left" w:pos="302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F4D8B" w:rsidRDefault="00BF4D8B">
      <w:pPr>
        <w:pStyle w:val="1"/>
        <w:numPr>
          <w:ilvl w:val="0"/>
          <w:numId w:val="0"/>
        </w:numPr>
        <w:spacing w:before="0"/>
        <w:ind w:firstLine="900"/>
        <w:rPr>
          <w:sz w:val="24"/>
          <w:szCs w:val="24"/>
        </w:rPr>
      </w:pPr>
    </w:p>
    <w:p w:rsidR="00BF4D8B" w:rsidRDefault="008E7116">
      <w:pPr>
        <w:pStyle w:val="1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6. АДРЕСА И РЕКВИЗИТЫ СТОРОН</w:t>
      </w:r>
    </w:p>
    <w:p w:rsidR="00BF4D8B" w:rsidRDefault="00BF4D8B">
      <w:pPr>
        <w:rPr>
          <w:sz w:val="24"/>
          <w:szCs w:val="24"/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977"/>
        <w:gridCol w:w="4662"/>
      </w:tblGrid>
      <w:tr w:rsidR="00BF4D8B">
        <w:tc>
          <w:tcPr>
            <w:tcW w:w="4977" w:type="dxa"/>
          </w:tcPr>
          <w:p w:rsidR="00BF4D8B" w:rsidRDefault="008E7116">
            <w:pPr>
              <w:keepNext/>
              <w:ind w:right="5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ООО «Белорусские облачные технологии»</w:t>
            </w:r>
          </w:p>
        </w:tc>
        <w:tc>
          <w:tcPr>
            <w:tcW w:w="4662" w:type="dxa"/>
          </w:tcPr>
          <w:p w:rsidR="00BF4D8B" w:rsidRDefault="008E7116">
            <w:pPr>
              <w:keepNext/>
              <w:ind w:right="-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BF4D8B">
        <w:trPr>
          <w:trHeight w:val="1245"/>
        </w:trPr>
        <w:tc>
          <w:tcPr>
            <w:tcW w:w="4977" w:type="dxa"/>
          </w:tcPr>
          <w:p w:rsidR="00BF4D8B" w:rsidRDefault="00BF4D8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62C0" w:rsidRPr="00F162C0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220004, Республика Беларусь,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г. Минск, ул. К.Цеткин,24, пом. 602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info@becloud.by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en-US"/>
              </w:rPr>
            </w:pPr>
            <w:r w:rsidRPr="00F162C0">
              <w:rPr>
                <w:sz w:val="24"/>
                <w:szCs w:val="24"/>
                <w:lang w:val="ru-RU"/>
              </w:rPr>
              <w:t>р</w:t>
            </w:r>
            <w:r w:rsidRPr="00F162C0">
              <w:rPr>
                <w:sz w:val="24"/>
                <w:szCs w:val="24"/>
                <w:lang w:val="en-US"/>
              </w:rPr>
              <w:t>/</w:t>
            </w:r>
            <w:r w:rsidRPr="00F162C0">
              <w:rPr>
                <w:sz w:val="24"/>
                <w:szCs w:val="24"/>
                <w:lang w:val="ru-RU"/>
              </w:rPr>
              <w:t>с</w:t>
            </w:r>
            <w:r w:rsidRPr="00F162C0">
              <w:rPr>
                <w:sz w:val="24"/>
                <w:szCs w:val="24"/>
                <w:lang w:val="en-US"/>
              </w:rPr>
              <w:t xml:space="preserve"> BY14BAPB30127209600100000000 (933)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en-US"/>
              </w:rPr>
            </w:pPr>
            <w:r w:rsidRPr="00F162C0">
              <w:rPr>
                <w:sz w:val="24"/>
                <w:szCs w:val="24"/>
                <w:lang w:val="ru-RU"/>
              </w:rPr>
              <w:t>БИК</w:t>
            </w:r>
            <w:r w:rsidRPr="00F162C0">
              <w:rPr>
                <w:sz w:val="24"/>
                <w:szCs w:val="24"/>
                <w:lang w:val="en-US"/>
              </w:rPr>
              <w:t>/BIC: BAPBBY2X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F162C0">
              <w:rPr>
                <w:sz w:val="24"/>
                <w:szCs w:val="24"/>
                <w:lang w:val="ru-RU"/>
              </w:rPr>
              <w:t>Белагропромбанк</w:t>
            </w:r>
            <w:proofErr w:type="spellEnd"/>
            <w:r w:rsidRPr="00F162C0">
              <w:rPr>
                <w:sz w:val="24"/>
                <w:szCs w:val="24"/>
                <w:lang w:val="ru-RU"/>
              </w:rPr>
              <w:t>»</w:t>
            </w:r>
          </w:p>
          <w:p w:rsidR="00F162C0" w:rsidRPr="00F162C0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г. Минск, пр-т Жукова, 3</w:t>
            </w:r>
          </w:p>
          <w:p w:rsidR="00BF4D8B" w:rsidRDefault="00F162C0" w:rsidP="00F162C0">
            <w:pPr>
              <w:rPr>
                <w:sz w:val="24"/>
                <w:szCs w:val="24"/>
                <w:lang w:val="ru-RU"/>
              </w:rPr>
            </w:pPr>
            <w:r w:rsidRPr="00F162C0">
              <w:rPr>
                <w:sz w:val="24"/>
                <w:szCs w:val="24"/>
                <w:lang w:val="ru-RU"/>
              </w:rPr>
              <w:t>УНП 191772685</w:t>
            </w:r>
          </w:p>
        </w:tc>
        <w:tc>
          <w:tcPr>
            <w:tcW w:w="4662" w:type="dxa"/>
          </w:tcPr>
          <w:p w:rsidR="00BF4D8B" w:rsidRDefault="00BF4D8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F4D8B" w:rsidRDefault="008E7116">
            <w:pPr>
              <w:jc w:val="both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___________________________</w:t>
            </w:r>
          </w:p>
          <w:p w:rsidR="00BF4D8B" w:rsidRDefault="00BF4D8B">
            <w:pPr>
              <w:rPr>
                <w:sz w:val="28"/>
                <w:szCs w:val="28"/>
                <w:lang w:val="ru-RU"/>
              </w:rPr>
            </w:pPr>
          </w:p>
        </w:tc>
      </w:tr>
      <w:tr w:rsidR="00BF4D8B" w:rsidRPr="004A3083">
        <w:trPr>
          <w:trHeight w:val="1335"/>
        </w:trPr>
        <w:tc>
          <w:tcPr>
            <w:tcW w:w="4977" w:type="dxa"/>
          </w:tcPr>
          <w:p w:rsidR="00BF4D8B" w:rsidRDefault="00BF4D8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F4D8B" w:rsidRDefault="008E711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 по коммерческим вопросам</w:t>
            </w:r>
          </w:p>
          <w:p w:rsidR="00BF4D8B" w:rsidRDefault="00BF4D8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F4D8B" w:rsidRDefault="008E7116" w:rsidP="004A30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________________ /</w:t>
            </w:r>
            <w:proofErr w:type="spellStart"/>
            <w:r w:rsidR="004A3083">
              <w:rPr>
                <w:sz w:val="26"/>
                <w:szCs w:val="26"/>
                <w:lang w:val="ru-RU"/>
              </w:rPr>
              <w:t>Ю</w:t>
            </w:r>
            <w:r>
              <w:rPr>
                <w:sz w:val="26"/>
                <w:szCs w:val="26"/>
                <w:lang w:val="ru-RU"/>
              </w:rPr>
              <w:t>.</w:t>
            </w:r>
            <w:r w:rsidR="004A3083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.</w:t>
            </w:r>
            <w:r w:rsidR="004A3083">
              <w:rPr>
                <w:sz w:val="26"/>
                <w:szCs w:val="26"/>
                <w:lang w:val="ru-RU"/>
              </w:rPr>
              <w:t>Гаврилович</w:t>
            </w:r>
            <w:proofErr w:type="spellEnd"/>
            <w:r>
              <w:rPr>
                <w:sz w:val="26"/>
                <w:szCs w:val="26"/>
                <w:lang w:val="ru-RU"/>
              </w:rPr>
              <w:t>/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62" w:type="dxa"/>
          </w:tcPr>
          <w:p w:rsidR="00BF4D8B" w:rsidRDefault="00BF4D8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F4D8B" w:rsidRDefault="00BF4D8B">
            <w:pPr>
              <w:rPr>
                <w:sz w:val="28"/>
                <w:szCs w:val="28"/>
                <w:lang w:val="ru-RU"/>
              </w:rPr>
            </w:pPr>
          </w:p>
          <w:p w:rsidR="00BF4D8B" w:rsidRDefault="00BF4D8B">
            <w:pPr>
              <w:rPr>
                <w:sz w:val="28"/>
                <w:szCs w:val="28"/>
                <w:lang w:val="ru-RU"/>
              </w:rPr>
            </w:pPr>
          </w:p>
          <w:p w:rsidR="00BF4D8B" w:rsidRDefault="00BF4D8B">
            <w:pPr>
              <w:rPr>
                <w:sz w:val="28"/>
                <w:szCs w:val="28"/>
                <w:lang w:val="ru-RU"/>
              </w:rPr>
            </w:pPr>
          </w:p>
          <w:p w:rsidR="00BF4D8B" w:rsidRDefault="008E71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 /___________/</w:t>
            </w:r>
          </w:p>
        </w:tc>
      </w:tr>
    </w:tbl>
    <w:p w:rsidR="00BF4D8B" w:rsidRDefault="00BF4D8B">
      <w:pPr>
        <w:rPr>
          <w:sz w:val="24"/>
          <w:szCs w:val="24"/>
          <w:lang w:val="ru-RU"/>
        </w:rPr>
        <w:sectPr w:rsidR="00BF4D8B">
          <w:headerReference w:type="default" r:id="rId7"/>
          <w:footerReference w:type="default" r:id="rId8"/>
          <w:pgSz w:w="11906" w:h="16838"/>
          <w:pgMar w:top="567" w:right="850" w:bottom="1418" w:left="1418" w:header="708" w:footer="708" w:gutter="0"/>
          <w:cols w:space="708"/>
        </w:sectPr>
      </w:pPr>
    </w:p>
    <w:p w:rsidR="00BF4D8B" w:rsidRDefault="008E7116">
      <w:pPr>
        <w:ind w:left="99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1 </w:t>
      </w:r>
    </w:p>
    <w:p w:rsidR="00BF4D8B" w:rsidRDefault="008E7116">
      <w:pPr>
        <w:ind w:left="99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Соглашению о конфиденциальности </w:t>
      </w:r>
    </w:p>
    <w:p w:rsidR="00BF4D8B" w:rsidRDefault="008E7116">
      <w:pPr>
        <w:ind w:left="992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№______ от «______» _________ 202_ г.</w:t>
      </w:r>
    </w:p>
    <w:p w:rsidR="00BF4D8B" w:rsidRDefault="008E71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</w:t>
      </w:r>
    </w:p>
    <w:p w:rsidR="00BF4D8B" w:rsidRDefault="008E711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 ____</w:t>
      </w:r>
    </w:p>
    <w:p w:rsidR="00BF4D8B" w:rsidRDefault="008E711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передаче конфиденциальной информации</w:t>
      </w:r>
    </w:p>
    <w:p w:rsidR="00BF4D8B" w:rsidRDefault="008E7116">
      <w:pPr>
        <w:jc w:val="center"/>
        <w:rPr>
          <w:color w:val="000000"/>
          <w:spacing w:val="-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Соглашению о конфиденциальности №______ от «____» _________ 202_ г.</w:t>
      </w:r>
    </w:p>
    <w:p w:rsidR="00BF4D8B" w:rsidRDefault="008E7116">
      <w:pPr>
        <w:rPr>
          <w:color w:val="000000"/>
          <w:spacing w:val="-10"/>
          <w:sz w:val="24"/>
          <w:szCs w:val="24"/>
          <w:lang w:val="ru-RU"/>
        </w:rPr>
      </w:pPr>
      <w:r>
        <w:rPr>
          <w:color w:val="000000"/>
          <w:spacing w:val="-10"/>
          <w:sz w:val="24"/>
          <w:szCs w:val="24"/>
          <w:lang w:val="ru-RU"/>
        </w:rPr>
        <w:t>г.</w:t>
      </w:r>
      <w:r w:rsidR="00B55DE9">
        <w:rPr>
          <w:color w:val="000000"/>
          <w:spacing w:val="-10"/>
          <w:sz w:val="24"/>
          <w:szCs w:val="24"/>
          <w:lang w:val="en-US"/>
        </w:rPr>
        <w:t xml:space="preserve"> </w:t>
      </w:r>
      <w:r>
        <w:rPr>
          <w:color w:val="000000"/>
          <w:spacing w:val="-10"/>
          <w:sz w:val="24"/>
          <w:szCs w:val="24"/>
          <w:lang w:val="ru-RU"/>
        </w:rPr>
        <w:t xml:space="preserve">Минск </w:t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</w:r>
      <w:r>
        <w:rPr>
          <w:color w:val="000000"/>
          <w:spacing w:val="-10"/>
          <w:sz w:val="24"/>
          <w:szCs w:val="24"/>
          <w:lang w:val="ru-RU"/>
        </w:rPr>
        <w:tab/>
        <w:t>«__</w:t>
      </w:r>
      <w:proofErr w:type="gramStart"/>
      <w:r>
        <w:rPr>
          <w:color w:val="000000"/>
          <w:spacing w:val="-10"/>
          <w:sz w:val="24"/>
          <w:szCs w:val="24"/>
          <w:lang w:val="ru-RU"/>
        </w:rPr>
        <w:t>_»_</w:t>
      </w:r>
      <w:proofErr w:type="gramEnd"/>
      <w:r>
        <w:rPr>
          <w:color w:val="000000"/>
          <w:spacing w:val="-10"/>
          <w:sz w:val="24"/>
          <w:szCs w:val="24"/>
          <w:lang w:val="ru-RU"/>
        </w:rPr>
        <w:t xml:space="preserve">_______ 202_ г. </w:t>
      </w:r>
    </w:p>
    <w:p w:rsidR="00BF4D8B" w:rsidRDefault="00BF4D8B">
      <w:pPr>
        <w:jc w:val="both"/>
        <w:rPr>
          <w:sz w:val="24"/>
          <w:szCs w:val="24"/>
          <w:lang w:val="ru-RU"/>
        </w:rPr>
      </w:pPr>
    </w:p>
    <w:p w:rsidR="00BF4D8B" w:rsidRDefault="008E7116">
      <w:pPr>
        <w:jc w:val="both"/>
        <w:rPr>
          <w:color w:val="000000"/>
          <w:spacing w:val="-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_______________________________________, именуемое в дальнейшем «Передающая Сторона», в лице ответственного представителя _________________________________________________, согласно пункта 3.3. Соглашения, с одной стороны, и </w:t>
      </w:r>
      <w:r>
        <w:rPr>
          <w:color w:val="000000"/>
          <w:sz w:val="24"/>
          <w:szCs w:val="24"/>
          <w:lang w:val="ru-RU"/>
        </w:rPr>
        <w:t>__________________________________</w:t>
      </w:r>
      <w:r>
        <w:rPr>
          <w:sz w:val="24"/>
          <w:szCs w:val="24"/>
          <w:lang w:val="ru-RU"/>
        </w:rPr>
        <w:t>, именуемое в дальнейшем «Получающая Сторона», в лице ответственного представителя __________________________________, согласно пункта 3.3. Соглашения, с другой стороны, составили настоящий Акт о нижеследующем:</w:t>
      </w:r>
    </w:p>
    <w:p w:rsidR="00BF4D8B" w:rsidRDefault="00BF4D8B">
      <w:pPr>
        <w:rPr>
          <w:color w:val="000000"/>
          <w:spacing w:val="-10"/>
          <w:sz w:val="24"/>
          <w:szCs w:val="24"/>
          <w:lang w:val="ru-RU"/>
        </w:rPr>
      </w:pPr>
    </w:p>
    <w:p w:rsidR="00BF4D8B" w:rsidRDefault="008E7116">
      <w:pPr>
        <w:rPr>
          <w:color w:val="000000"/>
          <w:spacing w:val="-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Получающая Сторона получила от передающей Стороны следующую Конфиденциальную информацию: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099"/>
        <w:gridCol w:w="2410"/>
        <w:gridCol w:w="4069"/>
        <w:gridCol w:w="2403"/>
        <w:gridCol w:w="2393"/>
      </w:tblGrid>
      <w:tr w:rsidR="00BF4D8B" w:rsidRPr="00276D7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№</w:t>
            </w:r>
          </w:p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</w:t>
            </w:r>
            <w:r>
              <w:rPr>
                <w:color w:val="000000"/>
                <w:spacing w:val="-10"/>
                <w:sz w:val="24"/>
                <w:szCs w:val="24"/>
                <w:lang w:val="ru-RU"/>
              </w:rPr>
              <w:t>/</w:t>
            </w:r>
            <w:r>
              <w:rPr>
                <w:color w:val="000000"/>
                <w:spacing w:val="-10"/>
                <w:sz w:val="24"/>
                <w:szCs w:val="24"/>
              </w:rPr>
              <w:t>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документа (файла), содержащего конфиденциальную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грифа конфиденциальности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Краткое содержание документа (файла), содержащего конфиденциальную информацию </w:t>
            </w:r>
            <w:r>
              <w:rPr>
                <w:sz w:val="24"/>
                <w:szCs w:val="24"/>
              </w:rPr>
              <w:t xml:space="preserve">(о </w:t>
            </w:r>
            <w:proofErr w:type="spellStart"/>
            <w:r>
              <w:rPr>
                <w:sz w:val="24"/>
                <w:szCs w:val="24"/>
              </w:rPr>
              <w:t>чем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носителя, на котором передается конфиденциальная информация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D8B" w:rsidRDefault="008E7116">
            <w:pPr>
              <w:jc w:val="center"/>
              <w:rPr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передаваемой информации (листы, байты и пр.)</w:t>
            </w:r>
          </w:p>
        </w:tc>
      </w:tr>
      <w:tr w:rsidR="00BF4D8B" w:rsidRPr="00276D7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</w:tr>
      <w:tr w:rsidR="00BF4D8B" w:rsidRPr="00276D7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</w:tr>
      <w:tr w:rsidR="00BF4D8B" w:rsidRPr="00276D7F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D8B" w:rsidRDefault="00BF4D8B">
            <w:pPr>
              <w:rPr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</w:tr>
    </w:tbl>
    <w:p w:rsidR="00BF4D8B" w:rsidRDefault="00BF4D8B">
      <w:pPr>
        <w:rPr>
          <w:color w:val="000000"/>
          <w:spacing w:val="-10"/>
          <w:sz w:val="16"/>
          <w:szCs w:val="16"/>
          <w:lang w:val="ru-RU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"/>
        <w:gridCol w:w="7910"/>
        <w:gridCol w:w="5284"/>
        <w:gridCol w:w="1704"/>
      </w:tblGrid>
      <w:tr w:rsidR="00BF4D8B">
        <w:trPr>
          <w:gridBefore w:val="1"/>
          <w:wBefore w:w="113" w:type="dxa"/>
        </w:trPr>
        <w:tc>
          <w:tcPr>
            <w:tcW w:w="7285" w:type="dxa"/>
          </w:tcPr>
          <w:p w:rsidR="00BF4D8B" w:rsidRDefault="008E71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Передающая Сторона</w:t>
            </w:r>
          </w:p>
        </w:tc>
        <w:tc>
          <w:tcPr>
            <w:tcW w:w="7599" w:type="dxa"/>
            <w:gridSpan w:val="2"/>
          </w:tcPr>
          <w:p w:rsidR="00BF4D8B" w:rsidRDefault="008E71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Получающая Сторона</w:t>
            </w:r>
          </w:p>
        </w:tc>
      </w:tr>
      <w:tr w:rsidR="00BF4D8B">
        <w:trPr>
          <w:gridBefore w:val="1"/>
          <w:wBefore w:w="113" w:type="dxa"/>
        </w:trPr>
        <w:tc>
          <w:tcPr>
            <w:tcW w:w="7285" w:type="dxa"/>
          </w:tcPr>
          <w:p w:rsidR="00BF4D8B" w:rsidRDefault="00BF4D8B">
            <w:pPr>
              <w:rPr>
                <w:b/>
                <w:sz w:val="24"/>
                <w:szCs w:val="24"/>
                <w:lang w:val="ru-RU"/>
              </w:rPr>
            </w:pPr>
          </w:p>
          <w:p w:rsidR="00BF4D8B" w:rsidRDefault="008E711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_____________________ /_____________________/ </w:t>
            </w:r>
          </w:p>
          <w:p w:rsidR="00BF4D8B" w:rsidRDefault="00BF4D8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99" w:type="dxa"/>
            <w:gridSpan w:val="2"/>
          </w:tcPr>
          <w:p w:rsidR="00BF4D8B" w:rsidRDefault="00BF4D8B">
            <w:pPr>
              <w:rPr>
                <w:b/>
                <w:sz w:val="24"/>
                <w:szCs w:val="24"/>
                <w:lang w:val="ru-RU"/>
              </w:rPr>
            </w:pPr>
          </w:p>
          <w:p w:rsidR="00BF4D8B" w:rsidRDefault="008E711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_________________________ / _________________ /</w:t>
            </w:r>
          </w:p>
        </w:tc>
      </w:tr>
      <w:tr w:rsidR="00BF4D8B">
        <w:tblPrEx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</w:tblPrEx>
        <w:tc>
          <w:tcPr>
            <w:tcW w:w="12021" w:type="dxa"/>
            <w:gridSpan w:val="3"/>
          </w:tcPr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</w:tc>
      </w:tr>
      <w:tr w:rsidR="00BF4D8B">
        <w:tblPrEx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</w:tblPrEx>
        <w:tc>
          <w:tcPr>
            <w:tcW w:w="12021" w:type="dxa"/>
            <w:gridSpan w:val="3"/>
          </w:tcPr>
          <w:tbl>
            <w:tblPr>
              <w:tblStyle w:val="aff7"/>
              <w:tblW w:w="11198" w:type="dxa"/>
              <w:tblInd w:w="1872" w:type="dxa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8"/>
              <w:gridCol w:w="5670"/>
            </w:tblGrid>
            <w:tr w:rsidR="00BF4D8B">
              <w:tc>
                <w:tcPr>
                  <w:tcW w:w="5528" w:type="dxa"/>
                </w:tcPr>
                <w:p w:rsidR="00BF4D8B" w:rsidRDefault="008E7116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ООО «Белорусские облачные технологии»</w:t>
                  </w:r>
                </w:p>
              </w:tc>
              <w:tc>
                <w:tcPr>
                  <w:tcW w:w="5670" w:type="dxa"/>
                </w:tcPr>
                <w:p w:rsidR="00BF4D8B" w:rsidRDefault="008E7116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 xml:space="preserve">_______________________________ </w:t>
                  </w:r>
                </w:p>
              </w:tc>
            </w:tr>
            <w:tr w:rsidR="00BF4D8B">
              <w:tc>
                <w:tcPr>
                  <w:tcW w:w="5528" w:type="dxa"/>
                </w:tcPr>
                <w:p w:rsidR="00BF4D8B" w:rsidRDefault="008E7116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Заместитель генерального директора по коммерческим вопросам</w:t>
                  </w:r>
                </w:p>
                <w:p w:rsidR="00BF4D8B" w:rsidRDefault="00BF4D8B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BF4D8B" w:rsidRDefault="008E7116" w:rsidP="004A3083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________________ /</w:t>
                  </w:r>
                  <w:proofErr w:type="spellStart"/>
                  <w:r w:rsidR="004A3083">
                    <w:rPr>
                      <w:sz w:val="24"/>
                      <w:szCs w:val="24"/>
                      <w:lang w:val="ru-RU"/>
                    </w:rPr>
                    <w:t>Ю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  <w:r w:rsidR="004A3083">
                    <w:rPr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  <w:r w:rsidR="004A3083">
                    <w:rPr>
                      <w:sz w:val="24"/>
                      <w:szCs w:val="24"/>
                      <w:lang w:val="ru-RU"/>
                    </w:rPr>
                    <w:t>Гаврилович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/</w:t>
                  </w:r>
                </w:p>
              </w:tc>
              <w:tc>
                <w:tcPr>
                  <w:tcW w:w="5670" w:type="dxa"/>
                </w:tcPr>
                <w:p w:rsidR="00BF4D8B" w:rsidRDefault="00BF4D8B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BF4D8B" w:rsidRDefault="00BF4D8B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BF4D8B" w:rsidRDefault="008E7116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_________________ /_______________/</w:t>
                  </w:r>
                </w:p>
              </w:tc>
            </w:tr>
          </w:tbl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1" w:type="dxa"/>
          </w:tcPr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F4D8B" w:rsidRDefault="00BF4D8B">
      <w:pPr>
        <w:rPr>
          <w:lang w:val="ru-RU"/>
        </w:rPr>
        <w:sectPr w:rsidR="00BF4D8B">
          <w:pgSz w:w="16838" w:h="11906" w:orient="landscape"/>
          <w:pgMar w:top="142" w:right="1134" w:bottom="360" w:left="1134" w:header="567" w:footer="567" w:gutter="0"/>
          <w:cols w:space="708"/>
        </w:sectPr>
      </w:pPr>
    </w:p>
    <w:p w:rsidR="00BF4D8B" w:rsidRDefault="008E7116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2</w:t>
      </w:r>
    </w:p>
    <w:p w:rsidR="00BF4D8B" w:rsidRDefault="008E7116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Соглашению о конфиденциальности</w:t>
      </w:r>
    </w:p>
    <w:p w:rsidR="00BF4D8B" w:rsidRDefault="008E7116">
      <w:pPr>
        <w:ind w:left="5664"/>
        <w:rPr>
          <w:sz w:val="24"/>
          <w:szCs w:val="24"/>
          <w:lang w:val="ru-RU"/>
        </w:rPr>
      </w:pPr>
      <w:r>
        <w:rPr>
          <w:lang w:val="ru-RU"/>
        </w:rPr>
        <w:t xml:space="preserve">№______ </w:t>
      </w:r>
      <w:r>
        <w:rPr>
          <w:sz w:val="24"/>
          <w:szCs w:val="24"/>
          <w:lang w:val="ru-RU"/>
        </w:rPr>
        <w:t>от «____» _______ 202__ г.</w:t>
      </w:r>
    </w:p>
    <w:p w:rsidR="00BF4D8B" w:rsidRDefault="00BF4D8B">
      <w:pPr>
        <w:rPr>
          <w:sz w:val="24"/>
          <w:szCs w:val="24"/>
          <w:lang w:val="ru-RU"/>
        </w:rPr>
      </w:pPr>
    </w:p>
    <w:p w:rsidR="00BF4D8B" w:rsidRDefault="00BF4D8B">
      <w:pPr>
        <w:jc w:val="center"/>
        <w:rPr>
          <w:sz w:val="24"/>
          <w:szCs w:val="24"/>
          <w:lang w:val="ru-RU"/>
        </w:rPr>
      </w:pPr>
    </w:p>
    <w:p w:rsidR="00BF4D8B" w:rsidRDefault="00BF4D8B">
      <w:pPr>
        <w:jc w:val="center"/>
        <w:rPr>
          <w:sz w:val="24"/>
          <w:szCs w:val="24"/>
          <w:lang w:val="ru-RU"/>
        </w:rPr>
      </w:pPr>
    </w:p>
    <w:p w:rsidR="00BF4D8B" w:rsidRDefault="008E711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Ответственные представители Сторон</w:t>
      </w:r>
    </w:p>
    <w:p w:rsidR="00BF4D8B" w:rsidRDefault="00BF4D8B">
      <w:pPr>
        <w:rPr>
          <w:sz w:val="24"/>
          <w:szCs w:val="24"/>
          <w:lang w:val="ru-RU"/>
        </w:rPr>
      </w:pPr>
    </w:p>
    <w:p w:rsidR="00BF4D8B" w:rsidRDefault="008E71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 Ответственные представители от ООО «Белорусские облачные технологии»:</w:t>
      </w:r>
    </w:p>
    <w:p w:rsidR="00BF4D8B" w:rsidRDefault="00BF4D8B">
      <w:pPr>
        <w:rPr>
          <w:sz w:val="24"/>
          <w:szCs w:val="24"/>
          <w:lang w:val="ru-RU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3289"/>
        <w:gridCol w:w="1984"/>
      </w:tblGrid>
      <w:tr w:rsidR="00BF4D8B">
        <w:tc>
          <w:tcPr>
            <w:tcW w:w="4536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Ф.И.О., должность</w:t>
            </w:r>
          </w:p>
        </w:tc>
        <w:tc>
          <w:tcPr>
            <w:tcW w:w="3289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телефона/факса</w:t>
            </w:r>
          </w:p>
        </w:tc>
      </w:tr>
      <w:tr w:rsidR="00BF4D8B">
        <w:tc>
          <w:tcPr>
            <w:tcW w:w="4536" w:type="dxa"/>
          </w:tcPr>
          <w:p w:rsidR="00BF4D8B" w:rsidRDefault="00BF4D8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  <w:vAlign w:val="center"/>
          </w:tcPr>
          <w:p w:rsidR="00BF4D8B" w:rsidRDefault="00BF4D8B">
            <w:pPr>
              <w:jc w:val="center"/>
              <w:rPr>
                <w:rStyle w:val="aff6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4D8B">
        <w:tc>
          <w:tcPr>
            <w:tcW w:w="4536" w:type="dxa"/>
          </w:tcPr>
          <w:p w:rsidR="00BF4D8B" w:rsidRDefault="00BF4D8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  <w:vAlign w:val="center"/>
          </w:tcPr>
          <w:p w:rsidR="00BF4D8B" w:rsidRDefault="00BF4D8B">
            <w:pPr>
              <w:jc w:val="center"/>
              <w:rPr>
                <w:rStyle w:val="aff6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4D8B">
        <w:tc>
          <w:tcPr>
            <w:tcW w:w="4536" w:type="dxa"/>
          </w:tcPr>
          <w:p w:rsidR="00BF4D8B" w:rsidRDefault="00BF4D8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  <w:vAlign w:val="center"/>
          </w:tcPr>
          <w:p w:rsidR="00BF4D8B" w:rsidRDefault="00BF4D8B">
            <w:pPr>
              <w:jc w:val="center"/>
              <w:rPr>
                <w:rStyle w:val="aff6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4D8B" w:rsidRDefault="00BF4D8B">
      <w:pPr>
        <w:jc w:val="both"/>
        <w:rPr>
          <w:sz w:val="24"/>
          <w:szCs w:val="24"/>
          <w:lang w:val="ru-RU"/>
        </w:rPr>
      </w:pPr>
    </w:p>
    <w:p w:rsidR="00BF4D8B" w:rsidRDefault="008E711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 Ответственные представители от ______________________________________:</w:t>
      </w:r>
    </w:p>
    <w:p w:rsidR="00BF4D8B" w:rsidRDefault="00BF4D8B">
      <w:pPr>
        <w:rPr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119"/>
        <w:gridCol w:w="1984"/>
      </w:tblGrid>
      <w:tr w:rsidR="00BF4D8B">
        <w:tc>
          <w:tcPr>
            <w:tcW w:w="4536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Ф.И.О., должность</w:t>
            </w:r>
          </w:p>
        </w:tc>
        <w:tc>
          <w:tcPr>
            <w:tcW w:w="3119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телефона/факса</w:t>
            </w:r>
          </w:p>
        </w:tc>
      </w:tr>
      <w:tr w:rsidR="00BF4D8B">
        <w:tc>
          <w:tcPr>
            <w:tcW w:w="4536" w:type="dxa"/>
          </w:tcPr>
          <w:p w:rsidR="00BF4D8B" w:rsidRDefault="008E7116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-----------</w:t>
            </w:r>
          </w:p>
        </w:tc>
        <w:tc>
          <w:tcPr>
            <w:tcW w:w="3119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1984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---------</w:t>
            </w:r>
          </w:p>
        </w:tc>
      </w:tr>
      <w:tr w:rsidR="00BF4D8B">
        <w:tc>
          <w:tcPr>
            <w:tcW w:w="4536" w:type="dxa"/>
          </w:tcPr>
          <w:p w:rsidR="00BF4D8B" w:rsidRDefault="008E7116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3119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</w:t>
            </w:r>
          </w:p>
        </w:tc>
        <w:tc>
          <w:tcPr>
            <w:tcW w:w="1984" w:type="dxa"/>
            <w:vAlign w:val="center"/>
          </w:tcPr>
          <w:p w:rsidR="00BF4D8B" w:rsidRDefault="008E71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--------</w:t>
            </w:r>
          </w:p>
        </w:tc>
      </w:tr>
      <w:tr w:rsidR="00BF4D8B">
        <w:tc>
          <w:tcPr>
            <w:tcW w:w="4536" w:type="dxa"/>
          </w:tcPr>
          <w:p w:rsidR="00BF4D8B" w:rsidRDefault="00BF4D8B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4D8B">
        <w:tc>
          <w:tcPr>
            <w:tcW w:w="4536" w:type="dxa"/>
          </w:tcPr>
          <w:p w:rsidR="00BF4D8B" w:rsidRDefault="00BF4D8B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F4D8B" w:rsidRDefault="00BF4D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4D8B" w:rsidRDefault="00BF4D8B">
      <w:pPr>
        <w:rPr>
          <w:sz w:val="24"/>
          <w:szCs w:val="24"/>
          <w:lang w:val="ru-RU"/>
        </w:rPr>
      </w:pPr>
    </w:p>
    <w:p w:rsidR="00BF4D8B" w:rsidRDefault="00BF4D8B">
      <w:pPr>
        <w:rPr>
          <w:sz w:val="24"/>
          <w:szCs w:val="24"/>
          <w:lang w:val="ru-RU"/>
        </w:rPr>
      </w:pPr>
    </w:p>
    <w:p w:rsidR="00BF4D8B" w:rsidRDefault="00BF4D8B">
      <w:pPr>
        <w:rPr>
          <w:sz w:val="24"/>
          <w:szCs w:val="24"/>
          <w:lang w:val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BF4D8B">
        <w:tc>
          <w:tcPr>
            <w:tcW w:w="4678" w:type="dxa"/>
          </w:tcPr>
          <w:p w:rsidR="00BF4D8B" w:rsidRDefault="008E711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ООО «Белорусские облачные технологии»</w:t>
            </w:r>
          </w:p>
          <w:p w:rsidR="00BF4D8B" w:rsidRDefault="00BF4D8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F4D8B" w:rsidRDefault="008E711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BF4D8B">
        <w:trPr>
          <w:trHeight w:val="1335"/>
        </w:trPr>
        <w:tc>
          <w:tcPr>
            <w:tcW w:w="4678" w:type="dxa"/>
          </w:tcPr>
          <w:p w:rsidR="00BF4D8B" w:rsidRDefault="008E711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 по коммерческим вопросам</w:t>
            </w:r>
          </w:p>
          <w:p w:rsidR="00BF4D8B" w:rsidRDefault="00BF4D8B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  <w:p w:rsidR="00BF4D8B" w:rsidRDefault="008E7116" w:rsidP="004A30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 /</w:t>
            </w:r>
            <w:proofErr w:type="spellStart"/>
            <w:r w:rsidR="004A3083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.</w:t>
            </w:r>
            <w:r w:rsidR="004A3083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</w:t>
            </w:r>
            <w:r w:rsidR="004A3083">
              <w:rPr>
                <w:sz w:val="24"/>
                <w:szCs w:val="24"/>
                <w:lang w:val="ru-RU"/>
              </w:rPr>
              <w:t>Гаврилович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4961" w:type="dxa"/>
          </w:tcPr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  <w:p w:rsidR="00BF4D8B" w:rsidRDefault="00BF4D8B">
            <w:pPr>
              <w:rPr>
                <w:sz w:val="24"/>
                <w:szCs w:val="24"/>
                <w:lang w:val="ru-RU"/>
              </w:rPr>
            </w:pPr>
          </w:p>
          <w:p w:rsidR="00BF4D8B" w:rsidRDefault="008E71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 /___________/</w:t>
            </w:r>
          </w:p>
        </w:tc>
      </w:tr>
    </w:tbl>
    <w:p w:rsidR="00BF4D8B" w:rsidRDefault="00BF4D8B">
      <w:pPr>
        <w:rPr>
          <w:lang w:val="ru-RU"/>
        </w:rPr>
      </w:pPr>
    </w:p>
    <w:sectPr w:rsidR="00BF4D8B">
      <w:pgSz w:w="11906" w:h="16838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2A" w:rsidRDefault="00705E2A">
      <w:r>
        <w:separator/>
      </w:r>
    </w:p>
  </w:endnote>
  <w:endnote w:type="continuationSeparator" w:id="0">
    <w:p w:rsidR="00705E2A" w:rsidRDefault="007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7"/>
      <w:tblW w:w="0" w:type="auto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F4D8B">
      <w:tc>
        <w:tcPr>
          <w:tcW w:w="4814" w:type="dxa"/>
        </w:tcPr>
        <w:p w:rsidR="00BF4D8B" w:rsidRDefault="00BF4D8B">
          <w:pPr>
            <w:pStyle w:val="aff3"/>
            <w:rPr>
              <w:lang w:val="ru-RU"/>
            </w:rPr>
          </w:pPr>
        </w:p>
      </w:tc>
      <w:tc>
        <w:tcPr>
          <w:tcW w:w="4814" w:type="dxa"/>
        </w:tcPr>
        <w:p w:rsidR="00BF4D8B" w:rsidRDefault="00BF4D8B">
          <w:pPr>
            <w:pStyle w:val="aff3"/>
            <w:rPr>
              <w:lang w:val="ru-RU"/>
            </w:rPr>
          </w:pPr>
        </w:p>
      </w:tc>
    </w:tr>
  </w:tbl>
  <w:p w:rsidR="00BF4D8B" w:rsidRDefault="00BF4D8B">
    <w:pPr>
      <w:pStyle w:val="aff3"/>
    </w:pPr>
  </w:p>
  <w:p w:rsidR="00BF4D8B" w:rsidRDefault="008E7116">
    <w:pPr>
      <w:pStyle w:val="aff3"/>
      <w:jc w:val="center"/>
    </w:pPr>
    <w:r>
      <w:fldChar w:fldCharType="begin"/>
    </w:r>
    <w:r>
      <w:instrText>PAGE   \* MERGEFORMAT</w:instrText>
    </w:r>
    <w:r>
      <w:fldChar w:fldCharType="separate"/>
    </w:r>
    <w:r w:rsidR="00014561" w:rsidRPr="00014561">
      <w:rPr>
        <w:noProof/>
        <w:lang w:val="ru-RU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2A" w:rsidRDefault="00705E2A">
      <w:r>
        <w:separator/>
      </w:r>
    </w:p>
  </w:footnote>
  <w:footnote w:type="continuationSeparator" w:id="0">
    <w:p w:rsidR="00705E2A" w:rsidRDefault="0070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B" w:rsidRDefault="00BF4D8B">
    <w:pPr>
      <w:pStyle w:val="aff1"/>
    </w:pPr>
  </w:p>
  <w:p w:rsidR="00BF4D8B" w:rsidRDefault="00BF4D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7E1"/>
    <w:multiLevelType w:val="multilevel"/>
    <w:tmpl w:val="890404E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" w15:restartNumberingAfterBreak="0">
    <w:nsid w:val="141935BE"/>
    <w:multiLevelType w:val="hybridMultilevel"/>
    <w:tmpl w:val="F920C6EE"/>
    <w:lvl w:ilvl="0" w:tplc="19204F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6E64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A4F0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94CD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B0F8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C632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2005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F65C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7EBA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B2EA3"/>
    <w:multiLevelType w:val="hybridMultilevel"/>
    <w:tmpl w:val="9FB20E78"/>
    <w:lvl w:ilvl="0" w:tplc="5EE85446">
      <w:start w:val="1"/>
      <w:numFmt w:val="decimal"/>
      <w:lvlText w:val="%1)"/>
      <w:lvlJc w:val="left"/>
      <w:pPr>
        <w:ind w:left="720" w:hanging="360"/>
      </w:pPr>
    </w:lvl>
    <w:lvl w:ilvl="1" w:tplc="85464BBA" w:tentative="1">
      <w:start w:val="1"/>
      <w:numFmt w:val="lowerLetter"/>
      <w:lvlText w:val="%2."/>
      <w:lvlJc w:val="left"/>
      <w:pPr>
        <w:ind w:left="1440" w:hanging="360"/>
      </w:pPr>
    </w:lvl>
    <w:lvl w:ilvl="2" w:tplc="9852025C" w:tentative="1">
      <w:start w:val="1"/>
      <w:numFmt w:val="lowerRoman"/>
      <w:lvlText w:val="%3."/>
      <w:lvlJc w:val="right"/>
      <w:pPr>
        <w:ind w:left="2160" w:hanging="180"/>
      </w:pPr>
    </w:lvl>
    <w:lvl w:ilvl="3" w:tplc="E3443312" w:tentative="1">
      <w:start w:val="1"/>
      <w:numFmt w:val="decimal"/>
      <w:lvlText w:val="%4."/>
      <w:lvlJc w:val="left"/>
      <w:pPr>
        <w:ind w:left="2880" w:hanging="360"/>
      </w:pPr>
    </w:lvl>
    <w:lvl w:ilvl="4" w:tplc="924CDC82" w:tentative="1">
      <w:start w:val="1"/>
      <w:numFmt w:val="lowerLetter"/>
      <w:lvlText w:val="%5."/>
      <w:lvlJc w:val="left"/>
      <w:pPr>
        <w:ind w:left="3600" w:hanging="360"/>
      </w:pPr>
    </w:lvl>
    <w:lvl w:ilvl="5" w:tplc="EF66D12A" w:tentative="1">
      <w:start w:val="1"/>
      <w:numFmt w:val="lowerRoman"/>
      <w:lvlText w:val="%6."/>
      <w:lvlJc w:val="right"/>
      <w:pPr>
        <w:ind w:left="4320" w:hanging="180"/>
      </w:pPr>
    </w:lvl>
    <w:lvl w:ilvl="6" w:tplc="C882D27A" w:tentative="1">
      <w:start w:val="1"/>
      <w:numFmt w:val="decimal"/>
      <w:lvlText w:val="%7."/>
      <w:lvlJc w:val="left"/>
      <w:pPr>
        <w:ind w:left="5040" w:hanging="360"/>
      </w:pPr>
    </w:lvl>
    <w:lvl w:ilvl="7" w:tplc="45483174" w:tentative="1">
      <w:start w:val="1"/>
      <w:numFmt w:val="lowerLetter"/>
      <w:lvlText w:val="%8."/>
      <w:lvlJc w:val="left"/>
      <w:pPr>
        <w:ind w:left="5760" w:hanging="360"/>
      </w:pPr>
    </w:lvl>
    <w:lvl w:ilvl="8" w:tplc="A1302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92C58"/>
    <w:multiLevelType w:val="multilevel"/>
    <w:tmpl w:val="D7542A9E"/>
    <w:lvl w:ilvl="0">
      <w:start w:val="1"/>
      <w:numFmt w:val="decimal"/>
      <w:pStyle w:val="1"/>
      <w:lvlText w:val="%1.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DA"/>
    <w:rsid w:val="00013F2F"/>
    <w:rsid w:val="00014561"/>
    <w:rsid w:val="00016599"/>
    <w:rsid w:val="000224E2"/>
    <w:rsid w:val="00023A75"/>
    <w:rsid w:val="00030B59"/>
    <w:rsid w:val="000332C1"/>
    <w:rsid w:val="0003344A"/>
    <w:rsid w:val="00036C81"/>
    <w:rsid w:val="00052C9B"/>
    <w:rsid w:val="00076E2B"/>
    <w:rsid w:val="000976B5"/>
    <w:rsid w:val="000A3CE8"/>
    <w:rsid w:val="000A68FB"/>
    <w:rsid w:val="000B62BF"/>
    <w:rsid w:val="000D43CD"/>
    <w:rsid w:val="000D49E7"/>
    <w:rsid w:val="000E49FE"/>
    <w:rsid w:val="000F1F16"/>
    <w:rsid w:val="000F2AAF"/>
    <w:rsid w:val="00100B98"/>
    <w:rsid w:val="0011519A"/>
    <w:rsid w:val="00121A33"/>
    <w:rsid w:val="00122184"/>
    <w:rsid w:val="00132FAC"/>
    <w:rsid w:val="00133E85"/>
    <w:rsid w:val="001403D1"/>
    <w:rsid w:val="0014062A"/>
    <w:rsid w:val="00151CDC"/>
    <w:rsid w:val="00154EC0"/>
    <w:rsid w:val="00155812"/>
    <w:rsid w:val="00170BCD"/>
    <w:rsid w:val="00172260"/>
    <w:rsid w:val="00174193"/>
    <w:rsid w:val="00174668"/>
    <w:rsid w:val="00194C32"/>
    <w:rsid w:val="00195C40"/>
    <w:rsid w:val="001B077D"/>
    <w:rsid w:val="001B414B"/>
    <w:rsid w:val="001C20FE"/>
    <w:rsid w:val="001C4941"/>
    <w:rsid w:val="001C51CD"/>
    <w:rsid w:val="001D1FE3"/>
    <w:rsid w:val="001D7358"/>
    <w:rsid w:val="001F1784"/>
    <w:rsid w:val="001F31FF"/>
    <w:rsid w:val="0020395C"/>
    <w:rsid w:val="00206BFF"/>
    <w:rsid w:val="002236EB"/>
    <w:rsid w:val="002355E1"/>
    <w:rsid w:val="00242213"/>
    <w:rsid w:val="00252287"/>
    <w:rsid w:val="00276C4A"/>
    <w:rsid w:val="00276D7F"/>
    <w:rsid w:val="00291DF7"/>
    <w:rsid w:val="002A1FA5"/>
    <w:rsid w:val="002A4E79"/>
    <w:rsid w:val="002A6341"/>
    <w:rsid w:val="002B0125"/>
    <w:rsid w:val="002B6E31"/>
    <w:rsid w:val="002C270F"/>
    <w:rsid w:val="002F1C1C"/>
    <w:rsid w:val="00300835"/>
    <w:rsid w:val="0031260C"/>
    <w:rsid w:val="00317121"/>
    <w:rsid w:val="00326DB7"/>
    <w:rsid w:val="00337354"/>
    <w:rsid w:val="003413DE"/>
    <w:rsid w:val="003426D0"/>
    <w:rsid w:val="003642A4"/>
    <w:rsid w:val="00370808"/>
    <w:rsid w:val="00381B03"/>
    <w:rsid w:val="003845DA"/>
    <w:rsid w:val="003914F9"/>
    <w:rsid w:val="003A7E30"/>
    <w:rsid w:val="003E0E5E"/>
    <w:rsid w:val="003E245C"/>
    <w:rsid w:val="003E609D"/>
    <w:rsid w:val="003F6379"/>
    <w:rsid w:val="003F6ACD"/>
    <w:rsid w:val="003F6F5B"/>
    <w:rsid w:val="00404DD2"/>
    <w:rsid w:val="004077C3"/>
    <w:rsid w:val="00425A8C"/>
    <w:rsid w:val="00427D83"/>
    <w:rsid w:val="00436E3E"/>
    <w:rsid w:val="004557D6"/>
    <w:rsid w:val="0046738D"/>
    <w:rsid w:val="004818F5"/>
    <w:rsid w:val="004827A1"/>
    <w:rsid w:val="00493064"/>
    <w:rsid w:val="004A209B"/>
    <w:rsid w:val="004A3083"/>
    <w:rsid w:val="004A5274"/>
    <w:rsid w:val="004B091C"/>
    <w:rsid w:val="004B2686"/>
    <w:rsid w:val="004B4B51"/>
    <w:rsid w:val="004D7EF4"/>
    <w:rsid w:val="004E4AAC"/>
    <w:rsid w:val="00510F5B"/>
    <w:rsid w:val="005110C0"/>
    <w:rsid w:val="005538C7"/>
    <w:rsid w:val="00555EA7"/>
    <w:rsid w:val="00563BB5"/>
    <w:rsid w:val="00571652"/>
    <w:rsid w:val="00572D18"/>
    <w:rsid w:val="00581037"/>
    <w:rsid w:val="005824BC"/>
    <w:rsid w:val="005845DC"/>
    <w:rsid w:val="00585A4D"/>
    <w:rsid w:val="00597E69"/>
    <w:rsid w:val="005A5DC6"/>
    <w:rsid w:val="005A6A90"/>
    <w:rsid w:val="005B2F50"/>
    <w:rsid w:val="005C3133"/>
    <w:rsid w:val="005D07A9"/>
    <w:rsid w:val="005D103A"/>
    <w:rsid w:val="005D1503"/>
    <w:rsid w:val="005D708C"/>
    <w:rsid w:val="005D71E9"/>
    <w:rsid w:val="005E750C"/>
    <w:rsid w:val="005F2847"/>
    <w:rsid w:val="00615C05"/>
    <w:rsid w:val="00625FC0"/>
    <w:rsid w:val="0064334A"/>
    <w:rsid w:val="00662986"/>
    <w:rsid w:val="00681C97"/>
    <w:rsid w:val="00692809"/>
    <w:rsid w:val="006970F6"/>
    <w:rsid w:val="006A4C28"/>
    <w:rsid w:val="006A6603"/>
    <w:rsid w:val="006A7AE8"/>
    <w:rsid w:val="006C403C"/>
    <w:rsid w:val="006C4DA7"/>
    <w:rsid w:val="006C6BCB"/>
    <w:rsid w:val="006D161E"/>
    <w:rsid w:val="006D6FA7"/>
    <w:rsid w:val="006E2B3E"/>
    <w:rsid w:val="006E44A4"/>
    <w:rsid w:val="006E62E2"/>
    <w:rsid w:val="00705776"/>
    <w:rsid w:val="00705E2A"/>
    <w:rsid w:val="00706453"/>
    <w:rsid w:val="00723368"/>
    <w:rsid w:val="007511DA"/>
    <w:rsid w:val="00754A7E"/>
    <w:rsid w:val="00756011"/>
    <w:rsid w:val="00756143"/>
    <w:rsid w:val="007608F3"/>
    <w:rsid w:val="00776E04"/>
    <w:rsid w:val="00784B89"/>
    <w:rsid w:val="00785C47"/>
    <w:rsid w:val="00790319"/>
    <w:rsid w:val="00793C82"/>
    <w:rsid w:val="007A1869"/>
    <w:rsid w:val="007D39B6"/>
    <w:rsid w:val="007D6446"/>
    <w:rsid w:val="007D7B2F"/>
    <w:rsid w:val="007F6354"/>
    <w:rsid w:val="008146BC"/>
    <w:rsid w:val="008272C8"/>
    <w:rsid w:val="00832CDF"/>
    <w:rsid w:val="008470CA"/>
    <w:rsid w:val="00866690"/>
    <w:rsid w:val="00893ACC"/>
    <w:rsid w:val="00894E84"/>
    <w:rsid w:val="008A0C01"/>
    <w:rsid w:val="008C17F8"/>
    <w:rsid w:val="008C2A98"/>
    <w:rsid w:val="008D01AA"/>
    <w:rsid w:val="008D1ABF"/>
    <w:rsid w:val="008D3805"/>
    <w:rsid w:val="008D4E70"/>
    <w:rsid w:val="008D61D3"/>
    <w:rsid w:val="008E1A87"/>
    <w:rsid w:val="008E7116"/>
    <w:rsid w:val="008E786E"/>
    <w:rsid w:val="00902B41"/>
    <w:rsid w:val="009035F6"/>
    <w:rsid w:val="009072AC"/>
    <w:rsid w:val="009129DA"/>
    <w:rsid w:val="00915D10"/>
    <w:rsid w:val="00932684"/>
    <w:rsid w:val="00934081"/>
    <w:rsid w:val="0094088E"/>
    <w:rsid w:val="00947208"/>
    <w:rsid w:val="00986727"/>
    <w:rsid w:val="00986F3B"/>
    <w:rsid w:val="00991197"/>
    <w:rsid w:val="009A13D3"/>
    <w:rsid w:val="009B18BA"/>
    <w:rsid w:val="009C058F"/>
    <w:rsid w:val="009C611D"/>
    <w:rsid w:val="009D1828"/>
    <w:rsid w:val="009D2CE8"/>
    <w:rsid w:val="00A250C6"/>
    <w:rsid w:val="00A25F64"/>
    <w:rsid w:val="00A346D9"/>
    <w:rsid w:val="00A40F3C"/>
    <w:rsid w:val="00A450E0"/>
    <w:rsid w:val="00A531AA"/>
    <w:rsid w:val="00A61D25"/>
    <w:rsid w:val="00A64B98"/>
    <w:rsid w:val="00A767D8"/>
    <w:rsid w:val="00A809E1"/>
    <w:rsid w:val="00A82C42"/>
    <w:rsid w:val="00A9057E"/>
    <w:rsid w:val="00A90861"/>
    <w:rsid w:val="00A92450"/>
    <w:rsid w:val="00AA5F70"/>
    <w:rsid w:val="00AB0AFE"/>
    <w:rsid w:val="00AB41A9"/>
    <w:rsid w:val="00AC0202"/>
    <w:rsid w:val="00AC2418"/>
    <w:rsid w:val="00AC50C0"/>
    <w:rsid w:val="00AE08D9"/>
    <w:rsid w:val="00AE3FC2"/>
    <w:rsid w:val="00AF4EC1"/>
    <w:rsid w:val="00B4497C"/>
    <w:rsid w:val="00B55DE9"/>
    <w:rsid w:val="00B57065"/>
    <w:rsid w:val="00B6034C"/>
    <w:rsid w:val="00B734F3"/>
    <w:rsid w:val="00B760E2"/>
    <w:rsid w:val="00B80740"/>
    <w:rsid w:val="00B9759D"/>
    <w:rsid w:val="00BA02C7"/>
    <w:rsid w:val="00BA1A85"/>
    <w:rsid w:val="00BB0E25"/>
    <w:rsid w:val="00BB4CC9"/>
    <w:rsid w:val="00BD6E82"/>
    <w:rsid w:val="00BF4D8B"/>
    <w:rsid w:val="00C01C11"/>
    <w:rsid w:val="00C11B2E"/>
    <w:rsid w:val="00C133E1"/>
    <w:rsid w:val="00C14C2A"/>
    <w:rsid w:val="00C212C0"/>
    <w:rsid w:val="00C21542"/>
    <w:rsid w:val="00C343B2"/>
    <w:rsid w:val="00C47DEC"/>
    <w:rsid w:val="00C56F10"/>
    <w:rsid w:val="00C57F7F"/>
    <w:rsid w:val="00C6193C"/>
    <w:rsid w:val="00C61C48"/>
    <w:rsid w:val="00C8632D"/>
    <w:rsid w:val="00C878BF"/>
    <w:rsid w:val="00C918B6"/>
    <w:rsid w:val="00CA3189"/>
    <w:rsid w:val="00CB1326"/>
    <w:rsid w:val="00CB1EE1"/>
    <w:rsid w:val="00CB4BDB"/>
    <w:rsid w:val="00CB74A6"/>
    <w:rsid w:val="00CC176C"/>
    <w:rsid w:val="00CD1D77"/>
    <w:rsid w:val="00CD2291"/>
    <w:rsid w:val="00CF43C3"/>
    <w:rsid w:val="00D25F0C"/>
    <w:rsid w:val="00D339D4"/>
    <w:rsid w:val="00D43ECC"/>
    <w:rsid w:val="00D47909"/>
    <w:rsid w:val="00D61E05"/>
    <w:rsid w:val="00D771B6"/>
    <w:rsid w:val="00D80A4A"/>
    <w:rsid w:val="00D8582E"/>
    <w:rsid w:val="00D94104"/>
    <w:rsid w:val="00DA229A"/>
    <w:rsid w:val="00DC1CE2"/>
    <w:rsid w:val="00DC332D"/>
    <w:rsid w:val="00DC7356"/>
    <w:rsid w:val="00DD1BEA"/>
    <w:rsid w:val="00DD23FB"/>
    <w:rsid w:val="00E076F4"/>
    <w:rsid w:val="00E14528"/>
    <w:rsid w:val="00E1452F"/>
    <w:rsid w:val="00E263B8"/>
    <w:rsid w:val="00E26875"/>
    <w:rsid w:val="00E563CF"/>
    <w:rsid w:val="00E60A40"/>
    <w:rsid w:val="00E63458"/>
    <w:rsid w:val="00E70E0F"/>
    <w:rsid w:val="00E76EC9"/>
    <w:rsid w:val="00E7796C"/>
    <w:rsid w:val="00E82A20"/>
    <w:rsid w:val="00E8722E"/>
    <w:rsid w:val="00E947EF"/>
    <w:rsid w:val="00E955D1"/>
    <w:rsid w:val="00E96931"/>
    <w:rsid w:val="00EA31C5"/>
    <w:rsid w:val="00EA5AD2"/>
    <w:rsid w:val="00EB178F"/>
    <w:rsid w:val="00EB2CAF"/>
    <w:rsid w:val="00EB42D7"/>
    <w:rsid w:val="00ED1225"/>
    <w:rsid w:val="00ED3BCB"/>
    <w:rsid w:val="00ED7639"/>
    <w:rsid w:val="00EE40A3"/>
    <w:rsid w:val="00EE58FE"/>
    <w:rsid w:val="00EE6C52"/>
    <w:rsid w:val="00F04575"/>
    <w:rsid w:val="00F162C0"/>
    <w:rsid w:val="00F237F0"/>
    <w:rsid w:val="00F26F1F"/>
    <w:rsid w:val="00F30452"/>
    <w:rsid w:val="00F40DF9"/>
    <w:rsid w:val="00F54823"/>
    <w:rsid w:val="00F61A7A"/>
    <w:rsid w:val="00F7448B"/>
    <w:rsid w:val="00F77828"/>
    <w:rsid w:val="00F9134A"/>
    <w:rsid w:val="00F943B5"/>
    <w:rsid w:val="00F946B9"/>
    <w:rsid w:val="00F96DB2"/>
    <w:rsid w:val="00FB0B8C"/>
    <w:rsid w:val="00FC7F99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F2BF1"/>
  <w15:docId w15:val="{E8ADB75F-4AE5-498C-B8E7-1A66BED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0"/>
      <w:szCs w:val="20"/>
      <w:lang w:val="en-GB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link w:val="3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styleId="af8">
    <w:name w:val="Title"/>
    <w:basedOn w:val="a"/>
    <w:link w:val="af9"/>
    <w:uiPriority w:val="99"/>
    <w:qFormat/>
    <w:pPr>
      <w:spacing w:before="120"/>
      <w:ind w:left="720" w:hanging="720"/>
      <w:jc w:val="center"/>
    </w:pPr>
    <w:rPr>
      <w:rFonts w:ascii="Arial" w:hAnsi="Arial"/>
      <w:b/>
      <w:sz w:val="24"/>
      <w:szCs w:val="24"/>
      <w:lang w:val="ru-RU" w:eastAsia="en-US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12">
    <w:name w:val="çàãîëîâîê 1"/>
    <w:basedOn w:val="a"/>
    <w:next w:val="a"/>
    <w:uiPriority w:val="99"/>
    <w:pPr>
      <w:keepNext/>
      <w:jc w:val="center"/>
    </w:pPr>
    <w:rPr>
      <w:rFonts w:ascii="Times NR Cyr MT" w:hAnsi="Times NR Cyr MT"/>
      <w:b/>
      <w:sz w:val="19"/>
      <w:lang w:val="ru-RU"/>
    </w:rPr>
  </w:style>
  <w:style w:type="paragraph" w:customStyle="1" w:styleId="1">
    <w:name w:val="АБЗАЦ 1"/>
    <w:basedOn w:val="10"/>
    <w:uiPriority w:val="99"/>
    <w:pPr>
      <w:numPr>
        <w:numId w:val="1"/>
      </w:numPr>
      <w:spacing w:before="75" w:after="0"/>
      <w:jc w:val="center"/>
    </w:pPr>
    <w:rPr>
      <w:rFonts w:ascii="Times New Roman" w:hAnsi="Times New Roman" w:cs="Times New Roman"/>
      <w:bCs w:val="0"/>
      <w:sz w:val="22"/>
      <w:szCs w:val="22"/>
      <w:lang w:val="ru-RU"/>
    </w:rPr>
  </w:style>
  <w:style w:type="paragraph" w:customStyle="1" w:styleId="2">
    <w:name w:val="АБЗАЦ 2"/>
    <w:basedOn w:val="a"/>
    <w:uiPriority w:val="99"/>
    <w:pPr>
      <w:numPr>
        <w:ilvl w:val="1"/>
        <w:numId w:val="1"/>
      </w:numPr>
      <w:spacing w:before="90"/>
      <w:jc w:val="both"/>
    </w:pPr>
    <w:rPr>
      <w:bCs/>
      <w:sz w:val="22"/>
      <w:szCs w:val="22"/>
      <w:lang w:val="ru-RU"/>
    </w:rPr>
  </w:style>
  <w:style w:type="paragraph" w:customStyle="1" w:styleId="3">
    <w:name w:val="АБЗАЦ 3"/>
    <w:basedOn w:val="2"/>
    <w:uiPriority w:val="99"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szCs w:val="0"/>
      <w:lang w:val="en-GB"/>
    </w:rPr>
  </w:style>
  <w:style w:type="character" w:styleId="afc">
    <w:name w:val="annotation reference"/>
    <w:basedOn w:val="a0"/>
    <w:uiPriority w:val="99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</w:style>
  <w:style w:type="character" w:customStyle="1" w:styleId="afe">
    <w:name w:val="Текст примечания Знак"/>
    <w:basedOn w:val="a0"/>
    <w:link w:val="afd"/>
    <w:uiPriority w:val="99"/>
    <w:rPr>
      <w:rFonts w:cs="Times New Roman"/>
      <w:lang w:val="en-GB"/>
    </w:rPr>
  </w:style>
  <w:style w:type="paragraph" w:styleId="aff">
    <w:name w:val="annotation subject"/>
    <w:basedOn w:val="afd"/>
    <w:next w:val="afd"/>
    <w:link w:val="aff0"/>
    <w:uiPriority w:val="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cs="Times New Roman"/>
      <w:b/>
      <w:bCs/>
      <w:lang w:val="en-GB"/>
    </w:rPr>
  </w:style>
  <w:style w:type="character" w:customStyle="1" w:styleId="24">
    <w:name w:val="Основной текст2"/>
    <w:uiPriority w:val="9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customStyle="1" w:styleId="Style5">
    <w:name w:val="Style5"/>
    <w:basedOn w:val="a"/>
    <w:uiPriority w:val="99"/>
    <w:pPr>
      <w:widowControl w:val="0"/>
      <w:spacing w:line="276" w:lineRule="exact"/>
      <w:jc w:val="both"/>
    </w:pPr>
    <w:rPr>
      <w:color w:val="000000"/>
      <w:sz w:val="24"/>
      <w:szCs w:val="24"/>
      <w:lang w:val="ru-RU" w:eastAsia="zh-CN"/>
    </w:rPr>
  </w:style>
  <w:style w:type="paragraph" w:customStyle="1" w:styleId="13">
    <w:name w:val="Обычный1"/>
    <w:uiPriority w:val="99"/>
    <w:rPr>
      <w:sz w:val="20"/>
      <w:szCs w:val="20"/>
      <w:lang w:val="en-GB" w:eastAsia="en-US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Pr>
      <w:sz w:val="20"/>
      <w:szCs w:val="20"/>
      <w:lang w:val="en-GB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Pr>
      <w:sz w:val="20"/>
      <w:szCs w:val="20"/>
      <w:lang w:val="en-GB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character" w:styleId="af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 Indent"/>
    <w:basedOn w:val="a"/>
    <w:link w:val="aff9"/>
    <w:uiPriority w:val="99"/>
    <w:semiHidden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Pr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MNS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Дробышевская Ксения</dc:creator>
  <cp:lastModifiedBy>Гоман Сергей Иванович</cp:lastModifiedBy>
  <cp:revision>7</cp:revision>
  <dcterms:created xsi:type="dcterms:W3CDTF">2024-09-02T12:13:00Z</dcterms:created>
  <dcterms:modified xsi:type="dcterms:W3CDTF">2024-09-04T09:21:00Z</dcterms:modified>
</cp:coreProperties>
</file>